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13" w:rsidRPr="00E82E13" w:rsidRDefault="00E82E13" w:rsidP="002B0BFB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2E13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</w:t>
      </w:r>
      <w:r w:rsidR="002B0BFB">
        <w:rPr>
          <w:rFonts w:ascii="Times New Roman" w:hAnsi="Times New Roman" w:cs="Times New Roman"/>
          <w:sz w:val="28"/>
          <w:szCs w:val="28"/>
        </w:rPr>
        <w:t>дмету "Химия" (базовый уровень)</w:t>
      </w:r>
      <w:bookmarkEnd w:id="0"/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155.1. Федеральная рабочая программа по учебному предмету "Химия" (базовый уровень) (предметная область "Естественно-научные предметы") (далее соответственно - программа по химии, химия) включает пояснительную записку, содержание обучения, планируемые результаты освоения программы по химии.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82E13">
        <w:rPr>
          <w:rFonts w:ascii="Times New Roman" w:hAnsi="Times New Roman" w:cs="Times New Roman"/>
          <w:sz w:val="28"/>
          <w:szCs w:val="28"/>
        </w:rPr>
        <w:t>155.2. Пояснительная записка.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155.2.1.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учетом </w:t>
      </w:r>
      <w:hyperlink r:id="rId5" w:tooltip="Ссылка на КонсультантПлюс">
        <w:r w:rsidRPr="00E82E13">
          <w:rPr>
            <w:sz w:val="28"/>
            <w:szCs w:val="28"/>
          </w:rPr>
          <w:t>концепции</w:t>
        </w:r>
      </w:hyperlink>
      <w:r w:rsidRPr="00E82E13">
        <w:rPr>
          <w:sz w:val="28"/>
          <w:szCs w:val="28"/>
        </w:rPr>
        <w:t xml:space="preserve"> преподавания учебного предмета "Химия" в образовательных организациях Российской Федерации.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155.2.2. Программа по химии разработана с целью оказания методической помощи учителю в создании рабочей программы по учебному предмету.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Программа по химии дает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учетом </w:t>
      </w:r>
      <w:proofErr w:type="spellStart"/>
      <w:r w:rsidRPr="00E82E13">
        <w:rPr>
          <w:sz w:val="28"/>
          <w:szCs w:val="28"/>
        </w:rPr>
        <w:t>межпредметных</w:t>
      </w:r>
      <w:proofErr w:type="spellEnd"/>
      <w:r w:rsidRPr="00E82E13">
        <w:rPr>
          <w:sz w:val="28"/>
          <w:szCs w:val="28"/>
        </w:rPr>
        <w:t xml:space="preserve"> и </w:t>
      </w:r>
      <w:proofErr w:type="spellStart"/>
      <w:r w:rsidRPr="00E82E13">
        <w:rPr>
          <w:sz w:val="28"/>
          <w:szCs w:val="28"/>
        </w:rPr>
        <w:t>внутрипредметных</w:t>
      </w:r>
      <w:proofErr w:type="spellEnd"/>
      <w:r w:rsidRPr="00E82E13">
        <w:rPr>
          <w:sz w:val="28"/>
          <w:szCs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155.2.3. 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</w:t>
      </w:r>
      <w:r w:rsidRPr="00E82E13">
        <w:rPr>
          <w:sz w:val="28"/>
          <w:szCs w:val="28"/>
        </w:rPr>
        <w:lastRenderedPageBreak/>
        <w:t>проблем устойчивого развития человечества - сырьевой, энергетической, пищевой и экологической безопасности, проблем здравоохранения.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155.2.4. Изучение химии: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способствует реализации возможностей для саморазвития и формирования культуры личности, ее общей и функциональной грамотности;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определенном этапе ее развития.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155.2.5. 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155.2.6. Структура содержания программы по химии сформирована на основе системного подхода к ее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атомно-молекулярного учения как основы всего естествознания;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Периодического закона Д.И. Менделеева как основного закона химии;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учения о строении атома и химической связи;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представлений об электролитической диссоциации веществ в растворах.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Освоение программы по химии способствует формированию представления о химической составляющей научной картины мира в логике ее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"Окружающий мир", "Биология. 5 - 7 классы" и "Физика. 7 класс".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155.2.7. 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-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155.2.8. При изучении химии на уровне основного общего образования важное значение приобрели такие цели, как: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</w:t>
      </w:r>
      <w:r w:rsidRPr="00E82E13">
        <w:rPr>
          <w:sz w:val="28"/>
          <w:szCs w:val="28"/>
        </w:rPr>
        <w:lastRenderedPageBreak/>
        <w:t>различных видов деятельности;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155.2.9. Общее число часов, рекомендованных для изучения химии, - 136 часов: в 8 классе - 68 часов (2 часа в неделю), в 9 классе - 68 часов (2 часа в неделю).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82E13">
        <w:rPr>
          <w:rFonts w:ascii="Times New Roman" w:hAnsi="Times New Roman" w:cs="Times New Roman"/>
          <w:sz w:val="28"/>
          <w:szCs w:val="28"/>
        </w:rPr>
        <w:t>155.3. Содержание обучения в 8 классе.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155.3.1. Первоначальные химические понятия.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знакомство с химической посудой,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82E13">
        <w:rPr>
          <w:sz w:val="28"/>
          <w:szCs w:val="28"/>
        </w:rPr>
        <w:t>шаростержневых</w:t>
      </w:r>
      <w:proofErr w:type="spellEnd"/>
      <w:r w:rsidRPr="00E82E13">
        <w:rPr>
          <w:sz w:val="28"/>
          <w:szCs w:val="28"/>
        </w:rPr>
        <w:t>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155.3.2. Важнейшие представители неорганических веществ.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- аллотропная модификация кислорода.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Водород -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Молярный объем газов. Расчеты по химическим уравнениям.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</w:r>
      <w:r w:rsidRPr="00E82E13">
        <w:rPr>
          <w:sz w:val="28"/>
          <w:szCs w:val="28"/>
        </w:rPr>
        <w:lastRenderedPageBreak/>
        <w:t>Загрязнение природных вод. Охрана и очистка природных вод.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Соли. Номенклатура солей.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Физические и химические свойства солей. Получение солей.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Генетическая связь между классами неорганических соединений.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155.3.3. Периодический закон и Периодическая система химических элементов Д.И. Менделеева. Строение атомов. Химическая связь. </w:t>
      </w:r>
      <w:r w:rsidRPr="00E82E13">
        <w:rPr>
          <w:sz w:val="28"/>
          <w:szCs w:val="28"/>
        </w:rPr>
        <w:lastRenderedPageBreak/>
        <w:t>Окислительно-восстановительные реакции.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Периодический закон. Периодическая система химических элементов Д.И. Менделеева. Короткопериодная и </w:t>
      </w:r>
      <w:proofErr w:type="spellStart"/>
      <w:r w:rsidRPr="00E82E13">
        <w:rPr>
          <w:sz w:val="28"/>
          <w:szCs w:val="28"/>
        </w:rPr>
        <w:t>длиннопериодная</w:t>
      </w:r>
      <w:proofErr w:type="spellEnd"/>
      <w:r w:rsidRPr="00E82E13">
        <w:rPr>
          <w:sz w:val="28"/>
          <w:szCs w:val="28"/>
        </w:rPr>
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155.3.4. Межпредметные связи.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Общие естественно-научные понятия: научный факт, гипотеза, теория, </w:t>
      </w:r>
      <w:r w:rsidRPr="00E82E13">
        <w:rPr>
          <w:sz w:val="28"/>
          <w:szCs w:val="28"/>
        </w:rPr>
        <w:lastRenderedPageBreak/>
        <w:t>закон, анализ, синтез, классификация, периодичность, наблюдение, эксперимент, моделирование, измерение, модель, явление.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объем, агрегатное состояние вещества, газ, физические величины, единицы измерения, космос, планеты, звезды, Солнце.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Биология: фотосинтез, дыхание, биосфера.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82E13">
        <w:rPr>
          <w:rFonts w:ascii="Times New Roman" w:hAnsi="Times New Roman" w:cs="Times New Roman"/>
          <w:sz w:val="28"/>
          <w:szCs w:val="28"/>
        </w:rPr>
        <w:t>155.4. Содержание обучения в 9 классе.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155.4.1. Вещество и химическая реакция.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Теория электролитической диссоциации. Электролиты и </w:t>
      </w:r>
      <w:proofErr w:type="spellStart"/>
      <w:r w:rsidRPr="00E82E13">
        <w:rPr>
          <w:sz w:val="28"/>
          <w:szCs w:val="28"/>
        </w:rPr>
        <w:t>неэлектролиты</w:t>
      </w:r>
      <w:proofErr w:type="spellEnd"/>
      <w:r w:rsidRPr="00E82E13">
        <w:rPr>
          <w:sz w:val="28"/>
          <w:szCs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Реакции ионного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ознакомление с моделями кристаллических решеток неорганических веществ -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155.4.2. Неметаллы и их соединения.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Общая характеристика элементов VIA-группы. Особенности строения атомов, характерные степени окисления.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Строение и физические свойства простых веществ - кислорода и серы. </w:t>
      </w:r>
      <w:r w:rsidRPr="00E82E13">
        <w:rPr>
          <w:sz w:val="28"/>
          <w:szCs w:val="28"/>
        </w:rPr>
        <w:lastRenderedPageBreak/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Общая характеристика элементов VA-группы. Особенности строения атомов, характерные степени окисления.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Общая характеристика элементов IVA-группы. Особенности строения атомов, характерные степени окисления.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ее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ее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решеток алмаза, графита, фуллерена, ознакомление с процессом адсорбции растворенных веществ активированным углем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"Важнейшие неметаллы и их соединения".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155.4.3. Металлы и их соединения.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Щелочные металлы: положение в Периодической системе химических элементов Д.И.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Щелочноземельные металлы магний и кальций: положение в Периодической системе химических элементов Д.И.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устранения.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Алюминий: положение в Периодической системе химических элементов Д.И.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Железо: положение в Периодической системе химических элементов Д.И. Менделеева, строение атома, нахождение в природе. Физические и химические свойства железа. Оксиды, гидроксиды и соли </w:t>
      </w:r>
      <w:proofErr w:type="spellStart"/>
      <w:r w:rsidRPr="00E82E13">
        <w:rPr>
          <w:sz w:val="28"/>
          <w:szCs w:val="28"/>
        </w:rPr>
        <w:t>соли</w:t>
      </w:r>
      <w:proofErr w:type="spellEnd"/>
      <w:r w:rsidRPr="00E82E13">
        <w:rPr>
          <w:sz w:val="28"/>
          <w:szCs w:val="28"/>
        </w:rPr>
        <w:t xml:space="preserve"> железа (II) и железа (III), их состав, свойства и получение.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Химический эксперимент: 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жесткой воды, процесса горения железа в кислороде (возможно использование видеоматериалов), признаков протекания качественных реакций на ионы (магния, кальция, алюминия, цинка, железа (II) и железа (III), меди (II), наблюдение и описание процессов </w:t>
      </w:r>
      <w:r w:rsidRPr="00E82E13">
        <w:rPr>
          <w:sz w:val="28"/>
          <w:szCs w:val="28"/>
        </w:rPr>
        <w:lastRenderedPageBreak/>
        <w:t>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"Важнейшие металлы и их соединения".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155.4.4. Химия и окружающая среда.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Химическое загрязнение окружающей среды (предельная допустимая концентрация веществ (далее - ПДК). Роль химии в решении экологических проблем.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Химический эксперимент: изучение образцов материалов (стекло, сплавы металлов, полимерные материалы).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155.4.5. Межпредметные связи.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объем, агрегатное состояние вещества, газ, раствор, растворимость, кристаллическая решетка, сплавы, физические величины, единицы измерения, космическое пространство, планеты, звезды, Солнце.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82E13">
        <w:rPr>
          <w:rFonts w:ascii="Times New Roman" w:hAnsi="Times New Roman" w:cs="Times New Roman"/>
          <w:sz w:val="28"/>
          <w:szCs w:val="28"/>
        </w:rPr>
        <w:t>155.5. Планируемые результаты освоения программы по химии на уровне основного общего образования.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155.5.1. Изучение химии на уровне основного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155.5.2.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155.5.3. 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1) патриотического воспитания: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2) гражданского воспитания: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3) ценности научного познания: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мировоззренческих представлений о веществе и химической реакции, </w:t>
      </w:r>
      <w:r w:rsidRPr="00E82E13">
        <w:rPr>
          <w:sz w:val="28"/>
          <w:szCs w:val="28"/>
        </w:rPr>
        <w:lastRenderedPageBreak/>
        <w:t>соответствующих современному уровню развития науки и составляющих основу для понимания сущности научной картины мира,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4) формирования культуры здоровья: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5) трудового воспитания: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учетом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6) экологического воспитания: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экологически целесообразного отношения к природе как источнику жизни на Земле, основе ее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</w:t>
      </w:r>
      <w:r w:rsidRPr="00E82E13">
        <w:rPr>
          <w:sz w:val="28"/>
          <w:szCs w:val="28"/>
        </w:rPr>
        <w:lastRenderedPageBreak/>
        <w:t>правил безопасного поведения при работе с веществами, а также в ситуациях, угрожающих здоровью и жизни людей;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155.5.4. Метапредметные результаты. 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Метапредметные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1) базовые логические действия: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использовать приемы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проводить выводы и заключения;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- химический знак (символ элемента), химическая формула и уравнение химической реакции - при решении учебно-познавательных задач, с учетом этих модельных представлений выявлять и характеризовать существенные </w:t>
      </w:r>
      <w:r w:rsidRPr="00E82E13">
        <w:rPr>
          <w:sz w:val="28"/>
          <w:szCs w:val="28"/>
        </w:rPr>
        <w:lastRenderedPageBreak/>
        <w:t>признаки изучаемых объектов - химических веществ и химических реакций, выявлять общие закономерности, причинно-следственные связи и противоречия в изучаемых процессах и явлениях;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2) базовые исследовательские действия: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проведенного опыта, исследования, составлять отчет о проделанной работе;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3) работа с информацией: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определенного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155.5.5. У обучающегося будут сформированы следующие универсальные коммуникативные действия: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умение задавать вопросы (в ходе диалога и (или) дискуссии) по существу </w:t>
      </w:r>
      <w:r w:rsidRPr="00E82E13">
        <w:rPr>
          <w:sz w:val="28"/>
          <w:szCs w:val="28"/>
        </w:rPr>
        <w:lastRenderedPageBreak/>
        <w:t>обсуждаемой темы, формулировать свои предложения относительно выполнения предложенной задачи;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учета общих интересов и согласования позиций (обсуждения, обмен мнениями, "мозговые штурмы", координация совместных действий, определение критериев по оценке качества выполненной работы и другие);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155.5.6. У обучающегося будут сформированы следующие универсальные регулятивные действия: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учетом получения новых знаний об изучаемых объектах - веществах и реакциях, оценивать соответствие полученного результата заявленной цели;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умение использовать и анализировать контексты, предлагаемые в условии заданий.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155.5.7. Предметные результаты освоения программы по химии на уровне основного общего образования.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"Химия",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155.5.7.1. К концу обучения в 8 классе у обучающегося будут сформированы следующие предметные результаты по химии: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</w:t>
      </w:r>
      <w:r w:rsidRPr="00E82E13">
        <w:rPr>
          <w:sz w:val="28"/>
          <w:szCs w:val="28"/>
        </w:rPr>
        <w:lastRenderedPageBreak/>
        <w:t xml:space="preserve">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E82E13">
        <w:rPr>
          <w:sz w:val="28"/>
          <w:szCs w:val="28"/>
        </w:rPr>
        <w:t>орбиталь</w:t>
      </w:r>
      <w:proofErr w:type="spellEnd"/>
      <w:r w:rsidRPr="00E82E13">
        <w:rPr>
          <w:sz w:val="28"/>
          <w:szCs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использовать химическую символику для составления формул веществ и уравнений химических реакций;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 химической связи (ковалентная и ионная) в неорганических соединениях;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Авогадро, 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малые и большие периоды, соотносить обозначения, которые имеются в таблице "Периодическая система химических элементов Д.И. Менделеева"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характеризовать (описывать) общие химические свойства веществ различных классов, подтверждая описание примерами молекулярных </w:t>
      </w:r>
      <w:r w:rsidRPr="00E82E13">
        <w:rPr>
          <w:sz w:val="28"/>
          <w:szCs w:val="28"/>
        </w:rPr>
        <w:lastRenderedPageBreak/>
        <w:t>уравнений соответствующих химических реакций;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расчеты по уравнению химической реакции;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применять основные операции мыслительной деятельности - анализ и синтез, сравнение, обобщение, систематизацию, классификацию, выявление причинно-следственных связей - для изучения свойств веществ и химических реакций, естественно-научные методы познания - наблюдение, измерение, моделирование, эксперимент (реальный и мысленный);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155.5.7.2. К концу обучения в 9 классе у обучающегося будут сформированы следующие предметные результаты по химии: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объем, раствор, электролиты, </w:t>
      </w:r>
      <w:proofErr w:type="spellStart"/>
      <w:r w:rsidRPr="00E82E13">
        <w:rPr>
          <w:sz w:val="28"/>
          <w:szCs w:val="28"/>
        </w:rPr>
        <w:t>неэлектролиты</w:t>
      </w:r>
      <w:proofErr w:type="spellEnd"/>
      <w:r w:rsidRPr="00E82E13">
        <w:rPr>
          <w:sz w:val="28"/>
          <w:szCs w:val="28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коррозия металлов, сплавы, скорость химической реакции, предельно допустимая концентрация ПДК вещества;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lastRenderedPageBreak/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использовать химическую символику для составления формул веществ и уравнений химических реакций;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раскрывать смысл Периодического закона Д.И.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учетом строения их атомов;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составлять уравнения электролитической диссоциации кислот, щелочей и солей, полные и сокращенные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прогнозировать свойства веществ в зависимости от их строения, </w:t>
      </w:r>
      <w:r w:rsidRPr="00E82E13">
        <w:rPr>
          <w:sz w:val="28"/>
          <w:szCs w:val="28"/>
        </w:rPr>
        <w:lastRenderedPageBreak/>
        <w:t>возможности протекания химических превращений в различных условиях;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расчеты по уравнению химической реакции;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 xml:space="preserve">проводить реакции, подтверждающие качественный состав различных веществ: распознавать опытным путем </w:t>
      </w:r>
      <w:proofErr w:type="spellStart"/>
      <w:r w:rsidRPr="00E82E13">
        <w:rPr>
          <w:sz w:val="28"/>
          <w:szCs w:val="28"/>
        </w:rPr>
        <w:t>хлоридбромид</w:t>
      </w:r>
      <w:proofErr w:type="spellEnd"/>
      <w:r w:rsidRPr="00E82E13">
        <w:rPr>
          <w:sz w:val="28"/>
          <w:szCs w:val="28"/>
        </w:rPr>
        <w:t>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реакций, естественно-научные методы познания - наблюдение, измерение, моделирование, эксперимент (реальный и мысленный).</w:t>
      </w:r>
    </w:p>
    <w:p w:rsidR="00E82E13" w:rsidRPr="00E82E13" w:rsidRDefault="00E82E13" w:rsidP="00E82E13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155.6.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Проверяемые требования к результатам освоения основной</w:t>
      </w: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образовательной программы (8 класс)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теме: "Первоначальные химические понятия"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определять валентность атомов элементов в бинарных соединениях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1.6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1.7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вычислять относительную молекулярную и молярную массы веществ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1.8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вычислять массовую долю химического элемента по формуле соединения,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1.9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вычислять массовую долю вещества в растворе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1.10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применять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По теме: "Важнейшие представители неорганических </w:t>
            </w:r>
            <w:r w:rsidRPr="00E82E13">
              <w:rPr>
                <w:sz w:val="28"/>
                <w:szCs w:val="28"/>
              </w:rPr>
              <w:lastRenderedPageBreak/>
              <w:t>веществ"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определять принадлежность веществ к определенному классу соединений по формулам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классифицировать неорганические вещества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проводить расчеты по уравнению химической реакции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теме: "Периодический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E82E13">
              <w:rPr>
                <w:sz w:val="28"/>
                <w:szCs w:val="28"/>
              </w:rPr>
              <w:t>орбиталь</w:t>
            </w:r>
            <w:proofErr w:type="spellEnd"/>
            <w:r w:rsidRPr="00E82E13">
              <w:rPr>
                <w:sz w:val="28"/>
                <w:szCs w:val="28"/>
              </w:rPr>
              <w:t>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классифицировать химические элементы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"малые" и "большие" периоды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соотносить обозначения, которые имеются в таблице "Периодическая система химических элементов Д.И. Менделеева"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3.6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определять степень окисления элементов в бинарных соединениях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3.7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23.1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Проверяемые элементы содержания (8 класс)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Первоначальные химические понятия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Атомы и молекулы. Химические элементы. Символы химических </w:t>
            </w:r>
            <w:r w:rsidRPr="00E82E13">
              <w:rPr>
                <w:sz w:val="28"/>
                <w:szCs w:val="28"/>
              </w:rPr>
              <w:lastRenderedPageBreak/>
              <w:t>элементов. Простые и сложные вещества. Атомно-молекулярное учение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E82E13">
              <w:rPr>
                <w:sz w:val="28"/>
                <w:szCs w:val="28"/>
              </w:rPr>
              <w:t>шаростержневых</w:t>
            </w:r>
            <w:proofErr w:type="spellEnd"/>
            <w:r w:rsidRPr="00E82E13">
              <w:rPr>
                <w:sz w:val="28"/>
                <w:szCs w:val="28"/>
              </w:rPr>
              <w:t>)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Важнейшие представители неорганических веществ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</w:t>
            </w:r>
            <w:r w:rsidRPr="00E82E13">
              <w:rPr>
                <w:sz w:val="28"/>
                <w:szCs w:val="28"/>
              </w:rPr>
              <w:lastRenderedPageBreak/>
              <w:t>промышленности. Круговорот кислорода в природе. Озон - аллотропная модификация кислорода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Водород -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Молярный объем газов. Расчеты по химическим уравнениям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2.8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2.9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2.10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Генетическая связь между классами неорганических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</w:t>
            </w:r>
            <w:r w:rsidRPr="00E82E13">
              <w:rPr>
                <w:sz w:val="28"/>
                <w:szCs w:val="28"/>
              </w:rPr>
              <w:lastRenderedPageBreak/>
              <w:t>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E82E13">
              <w:rPr>
                <w:sz w:val="28"/>
                <w:szCs w:val="28"/>
              </w:rPr>
              <w:t>длиннопериодная</w:t>
            </w:r>
            <w:proofErr w:type="spellEnd"/>
            <w:r w:rsidRPr="00E82E13">
              <w:rPr>
                <w:sz w:val="28"/>
                <w:szCs w:val="28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</w:t>
            </w:r>
            <w:r w:rsidRPr="00E82E13">
              <w:rPr>
                <w:sz w:val="28"/>
                <w:szCs w:val="28"/>
              </w:rPr>
              <w:lastRenderedPageBreak/>
              <w:t>Периодической системе Д.И. Менделеева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Степень окисления. Окислительно-восстановительные реакции. Процессы окисления и восстановления. Окислители и восстановители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23.2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Проверяемые требования к результатам освоения основной</w:t>
      </w: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образовательной программы (9 класс)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теме: "Вещество и химическая реакция"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E82E13">
              <w:rPr>
                <w:sz w:val="28"/>
                <w:szCs w:val="28"/>
              </w:rPr>
              <w:t>неэлектролиты</w:t>
            </w:r>
            <w:proofErr w:type="spellEnd"/>
            <w:r w:rsidRPr="00E82E13">
              <w:rPr>
                <w:sz w:val="28"/>
                <w:szCs w:val="28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сплавы, </w:t>
            </w:r>
            <w:r w:rsidRPr="00E82E13">
              <w:rPr>
                <w:sz w:val="28"/>
                <w:szCs w:val="28"/>
              </w:rPr>
              <w:lastRenderedPageBreak/>
              <w:t>скорость химической реакции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составлять уравнения электролитической диссоциации кислот, щелочей и солей, полные и сокращенные уравнения реакций ионного обмена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проводить расчеты по уравнению химической реакции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темам: "Неметаллы и их соединения" и "Металлы и их соединения"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проводить реакции, подтверждающие качественный состав различных веществ: распознавать опытным путем хлорид-, бромид-, иодид-, карбонат-, фосфат-, силикат-, сульфат-, </w:t>
            </w:r>
            <w:r w:rsidRPr="00E82E13">
              <w:rPr>
                <w:sz w:val="28"/>
                <w:szCs w:val="28"/>
              </w:rPr>
              <w:lastRenderedPageBreak/>
              <w:t>гидроксид-ионы,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теме: "Химия и окружающая среда"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</w:tbl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23.3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Проверяемые элементы содержания (9 класс)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Вещество и химическая реакция. Повторение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</w:t>
            </w:r>
            <w:r w:rsidRPr="00E82E13">
              <w:rPr>
                <w:sz w:val="28"/>
                <w:szCs w:val="28"/>
              </w:rPr>
              <w:lastRenderedPageBreak/>
              <w:t>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Теория электролитической диссоциации. Электролиты и </w:t>
            </w:r>
            <w:proofErr w:type="spellStart"/>
            <w:r w:rsidRPr="00E82E13">
              <w:rPr>
                <w:sz w:val="28"/>
                <w:szCs w:val="28"/>
              </w:rPr>
              <w:t>неэлектролиты</w:t>
            </w:r>
            <w:proofErr w:type="spellEnd"/>
            <w:r w:rsidRPr="00E82E13">
              <w:rPr>
                <w:sz w:val="28"/>
                <w:szCs w:val="28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Химический эксперимент: ознакомление с моделями кристаллических решеток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Неметаллы и их соединения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Общая характеристика элементов VIA-группы.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Общая характеристика элементов VA-группы.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Фосфор, аллотропные модификации фосфора, физические и </w:t>
            </w:r>
            <w:r w:rsidRPr="00E82E13">
              <w:rPr>
                <w:sz w:val="28"/>
                <w:szCs w:val="28"/>
              </w:rPr>
              <w:lastRenderedPageBreak/>
              <w:t>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климата; парниковый эффект. 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2.8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ее </w:t>
            </w:r>
            <w:r w:rsidRPr="00E82E13">
              <w:rPr>
                <w:sz w:val="28"/>
                <w:szCs w:val="28"/>
              </w:rPr>
              <w:lastRenderedPageBreak/>
              <w:t>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Металлы и их соединения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 ряд напряжений металлов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</w:t>
            </w:r>
            <w:r w:rsidRPr="00E82E13">
              <w:rPr>
                <w:sz w:val="28"/>
                <w:szCs w:val="28"/>
              </w:rPr>
              <w:lastRenderedPageBreak/>
              <w:t>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устранения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 (II) и железа (III), меди 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"Важнейшие металлы и их соединения"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Химия и окружающая среда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Новые материалы и технологии. Вещества и материалы в повседневной жизни человека. Химия и здоровье. Безопасное </w:t>
            </w:r>
            <w:r w:rsidRPr="00E82E13">
              <w:rPr>
                <w:sz w:val="28"/>
                <w:szCs w:val="28"/>
              </w:rPr>
              <w:lastRenderedPageBreak/>
              <w:t>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82E13">
        <w:rPr>
          <w:sz w:val="28"/>
          <w:szCs w:val="28"/>
        </w:rPr>
        <w:t>155.7. 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23.4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Проверяемые на ОГЭ по химии требования</w:t>
      </w: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к результатам освоения основной образовательной программы</w:t>
      </w: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основного общего образования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Представление: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E82E13">
              <w:rPr>
                <w:sz w:val="28"/>
                <w:szCs w:val="28"/>
              </w:rPr>
              <w:t>орбиталь</w:t>
            </w:r>
            <w:proofErr w:type="spellEnd"/>
            <w:r w:rsidRPr="00E82E13">
              <w:rPr>
                <w:sz w:val="28"/>
                <w:szCs w:val="28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      </w:r>
            <w:proofErr w:type="spellStart"/>
            <w:r w:rsidRPr="00E82E13">
              <w:rPr>
                <w:sz w:val="28"/>
                <w:szCs w:val="28"/>
              </w:rPr>
              <w:t>неэлектролит</w:t>
            </w:r>
            <w:proofErr w:type="spellEnd"/>
            <w:r w:rsidRPr="00E82E13">
              <w:rPr>
                <w:sz w:val="28"/>
                <w:szCs w:val="28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теории химии: атомно-молекулярная теория, теория </w:t>
            </w:r>
            <w:r w:rsidRPr="00E82E13">
              <w:rPr>
                <w:sz w:val="28"/>
                <w:szCs w:val="28"/>
              </w:rPr>
              <w:lastRenderedPageBreak/>
              <w:t>электролитической диссоциации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Владение основами химической грамотности, включающей: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наличие опыта работы с различными источниками информации по химии (научная и научно-популярная литература, словари, справочники, интернет-ресурсы)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объективно оценивать информацию о веществах, их превращениях и практическом применении и умение использовать ее для решения учебно-познавательных задач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</w:t>
            </w:r>
            <w:r w:rsidRPr="00E82E13">
              <w:rPr>
                <w:sz w:val="28"/>
                <w:szCs w:val="28"/>
              </w:rPr>
              <w:lastRenderedPageBreak/>
              <w:t>атома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классифицировать: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элементы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неорганические вещества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реакции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8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определять: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8.1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валентность и степень окисления химических элементов, заряд иона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8.2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вид химической связи и тип кристаллической структуры в соединениях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8.3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характер среды в водных растворах веществ (кислот, оснований)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8.4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окислитель и восстановитель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9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характеризовать физические и химические свойства: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9.1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9.2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9.3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10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Умение составлять молекулярные и ионные уравнения </w:t>
            </w:r>
            <w:r w:rsidRPr="00E82E13">
              <w:rPr>
                <w:sz w:val="28"/>
                <w:szCs w:val="28"/>
              </w:rPr>
              <w:lastRenderedPageBreak/>
              <w:t>реакций, в том числе: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10.1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реакций ионного обмена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10.2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окислительно-восстановительных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10.3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10.4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подтверждающих генетическую взаимосвязь между ними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 вычислять (проводить расчеты):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11.1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11.2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массовую долю вещества в растворе,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11.3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количество вещества и его массу, объем газов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11.4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уравнениям химических реакций и находить количество вещества, объем и массу реагентов или продуктов реакции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Владение (знание основ):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12.1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12.2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12.3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изучение и описание физических свойств веществ; </w:t>
            </w:r>
            <w:r w:rsidRPr="00E82E13">
              <w:rPr>
                <w:sz w:val="28"/>
                <w:szCs w:val="28"/>
              </w:rPr>
              <w:lastRenderedPageBreak/>
              <w:t>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13.2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изучение способов разделения смесей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13.3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приготовление растворов с определенной массовой долей растворенного вещества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13.5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13.6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13.7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металлы и их соединения"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13.8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 w:rsidRPr="00E82E13">
              <w:rPr>
                <w:sz w:val="28"/>
                <w:szCs w:val="28"/>
              </w:rPr>
              <w:t>д-</w:t>
            </w:r>
            <w:proofErr w:type="gramEnd"/>
            <w:r w:rsidRPr="00E82E13">
              <w:rPr>
                <w:sz w:val="28"/>
                <w:szCs w:val="28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14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Умение: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14.1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представлять результаты эксперимента в форме выводов, </w:t>
            </w:r>
            <w:r w:rsidRPr="00E82E13">
              <w:rPr>
                <w:sz w:val="28"/>
                <w:szCs w:val="28"/>
              </w:rPr>
              <w:lastRenderedPageBreak/>
              <w:t>доказательств, графиков и таблиц и выявлять эмпирические закономерности</w:t>
            </w:r>
          </w:p>
        </w:tc>
      </w:tr>
      <w:tr w:rsidR="00E82E13" w:rsidRPr="00E82E13" w:rsidTr="0008329E">
        <w:tc>
          <w:tcPr>
            <w:tcW w:w="1701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14.2</w:t>
            </w:r>
          </w:p>
        </w:tc>
        <w:tc>
          <w:tcPr>
            <w:tcW w:w="7370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right"/>
        <w:rPr>
          <w:sz w:val="28"/>
          <w:szCs w:val="28"/>
        </w:rPr>
      </w:pPr>
      <w:r w:rsidRPr="00E82E13">
        <w:rPr>
          <w:sz w:val="28"/>
          <w:szCs w:val="28"/>
        </w:rPr>
        <w:t>Таблица 23.5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Перечень элементов содержания, проверяемых на основном</w:t>
      </w:r>
    </w:p>
    <w:p w:rsidR="00E82E13" w:rsidRPr="00E82E13" w:rsidRDefault="00E82E13" w:rsidP="00E82E13">
      <w:pPr>
        <w:pStyle w:val="ConsPlusNormal"/>
        <w:spacing w:line="276" w:lineRule="auto"/>
        <w:jc w:val="center"/>
        <w:rPr>
          <w:sz w:val="28"/>
          <w:szCs w:val="28"/>
        </w:rPr>
      </w:pPr>
      <w:r w:rsidRPr="00E82E13">
        <w:rPr>
          <w:sz w:val="28"/>
          <w:szCs w:val="28"/>
        </w:rPr>
        <w:t>государственном экзамене по химии</w:t>
      </w:r>
    </w:p>
    <w:p w:rsidR="00E82E13" w:rsidRPr="00E82E13" w:rsidRDefault="00E82E13" w:rsidP="00E82E13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Первоначальные химические понятия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Чистые вещества и смеси. Способы разделения смесей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Количество вещества. Моль. Молярная масса. Молярный объем газов. Взаимосвязь количества, массы и числа структурных единиц вещества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явления. Химическая реакция и ее признаки. Закон сохранения массы веществ. Химические уравнения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Периодический закон. Периодическая система химических элементов Д.И. Менделеева. Периоды и группы. Физический </w:t>
            </w:r>
            <w:r w:rsidRPr="00E82E13">
              <w:rPr>
                <w:sz w:val="28"/>
                <w:szCs w:val="28"/>
              </w:rPr>
              <w:lastRenderedPageBreak/>
              <w:t>смысл порядкового номера, номеров периода и группы элемента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Закономерности в изменении свойств химических элементов первых трех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Строение вещества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Химическая связь. Ковалентная (полярная и неполярная) связь. Электроотрицательность химических элементов. Ионная связь. Металлическая связь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Типы кристаллических решеток (атомная, ионная, металлическая), зависимость свойств вещества от типа кристаллической решетки и вида химической связи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(щелочи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Физические и химические свойства оксидов неметаллов: серы </w:t>
            </w:r>
            <w:r w:rsidRPr="00E82E13">
              <w:rPr>
                <w:sz w:val="28"/>
                <w:szCs w:val="28"/>
              </w:rPr>
              <w:lastRenderedPageBreak/>
              <w:t>(IV, VI), азота (II, IV, V), фосфора (III, V), углерода (II, IV), кремния (IV). Получение оксидов неметаллов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4.6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свойства оксидов: металлов IA - IIIA групп, цинка, меди (II) и железа (II, III). Получение оксидов металлов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4.8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Общие химические свойства кислот: </w:t>
            </w:r>
            <w:proofErr w:type="spellStart"/>
            <w:r w:rsidRPr="00E82E13">
              <w:rPr>
                <w:sz w:val="28"/>
                <w:szCs w:val="28"/>
              </w:rPr>
              <w:t>хлороводородной</w:t>
            </w:r>
            <w:proofErr w:type="spellEnd"/>
            <w:r w:rsidRPr="00E82E13">
              <w:rPr>
                <w:sz w:val="28"/>
                <w:szCs w:val="28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4.9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Общие химические свойства средних солей. Получение солей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4.10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4.11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4.12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Генетическая связь между классами неорганических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Химические реакции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Окислительно-восстановительные реакции. Окислители и восстановители. Процессы окисления и восстановления. Электронный баланс окислительно-восстановительной реакции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5.4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E82E13">
              <w:rPr>
                <w:sz w:val="28"/>
                <w:szCs w:val="28"/>
              </w:rPr>
              <w:t>неэлектролиты</w:t>
            </w:r>
            <w:proofErr w:type="spellEnd"/>
            <w:r w:rsidRPr="00E82E13">
              <w:rPr>
                <w:sz w:val="28"/>
                <w:szCs w:val="28"/>
              </w:rPr>
              <w:t>. Сильные и слабые электролиты. Степень диссоциации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Реакции ионного обмена. Условия протекания реакций ионного обмена, полные и сокращенные ионные уравнения реакций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Химия и окружающая среда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Химическое загрязнение окружающей среды (кислотные дожди, загрязнение почвы, воздуха и водоемов),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6.4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6.5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Расчеты: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7.1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формулам химических соединений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7.2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массы (массовой) доли растворенного вещества в растворе</w:t>
            </w:r>
          </w:p>
        </w:tc>
      </w:tr>
      <w:tr w:rsidR="00E82E13" w:rsidRPr="00E82E13" w:rsidTr="0008329E">
        <w:tc>
          <w:tcPr>
            <w:tcW w:w="1077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7.3</w:t>
            </w:r>
          </w:p>
        </w:tc>
        <w:tc>
          <w:tcPr>
            <w:tcW w:w="7994" w:type="dxa"/>
          </w:tcPr>
          <w:p w:rsidR="00E82E13" w:rsidRPr="00E82E13" w:rsidRDefault="00E82E13" w:rsidP="00E82E1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82E13">
              <w:rPr>
                <w:sz w:val="28"/>
                <w:szCs w:val="28"/>
              </w:rPr>
              <w:t>по химическим уравнениям</w:t>
            </w:r>
          </w:p>
        </w:tc>
      </w:tr>
    </w:tbl>
    <w:p w:rsidR="00E82E13" w:rsidRPr="00E82E13" w:rsidRDefault="00E82E13" w:rsidP="00E82E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82E13" w:rsidRPr="00E82E13" w:rsidRDefault="00E82E13" w:rsidP="00E82E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82E13" w:rsidRPr="00E8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13"/>
    <w:rsid w:val="002B0BFB"/>
    <w:rsid w:val="00E82E13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3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2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1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1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1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1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E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E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8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E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8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E1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82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E13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E82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82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E1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82E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E82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3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2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1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1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1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1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E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E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8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E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8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E1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82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E13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E82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82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E1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82E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E82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739849&amp;date=20.05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12397</Words>
  <Characters>70665</Characters>
  <Application>Microsoft Office Word</Application>
  <DocSecurity>0</DocSecurity>
  <Lines>588</Lines>
  <Paragraphs>165</Paragraphs>
  <ScaleCrop>false</ScaleCrop>
  <Company/>
  <LinksUpToDate>false</LinksUpToDate>
  <CharactersWithSpaces>82897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Борисовна</cp:lastModifiedBy>
  <cp:revision>3</cp:revision>
  <dcterms:created xsi:type="dcterms:W3CDTF">2025-06-11T11:34:00Z</dcterms:created>
  <dcterms:modified xsi:type="dcterms:W3CDTF">2025-09-23T12:27:00Z</dcterms:modified>
</cp:coreProperties>
</file>